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E7" w:rsidRPr="00C545E7" w:rsidRDefault="00C545E7" w:rsidP="0078482F">
      <w:pPr>
        <w:spacing w:before="100" w:beforeAutospacing="1" w:after="100" w:afterAutospacing="1"/>
        <w:jc w:val="center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lang w:eastAsia="ru-RU"/>
        </w:rPr>
      </w:pPr>
      <w:r w:rsidRPr="00C545E7">
        <w:rPr>
          <w:rFonts w:ascii="Comic Sans MS" w:eastAsia="Times New Roman" w:hAnsi="Comic Sans MS" w:cs="Times New Roman"/>
          <w:b/>
          <w:bCs/>
          <w:sz w:val="27"/>
          <w:szCs w:val="27"/>
          <w:lang w:eastAsia="ru-RU"/>
        </w:rPr>
        <w:t>Изменения КИМ ГИА для выпускников 9 классов 2012 года</w:t>
      </w:r>
    </w:p>
    <w:p w:rsidR="00C545E7" w:rsidRPr="0078482F" w:rsidRDefault="00C545E7" w:rsidP="0078482F">
      <w:pPr>
        <w:rPr>
          <w:rFonts w:ascii="Comic Sans MS" w:eastAsia="Times New Roman" w:hAnsi="Comic Sans MS" w:cs="Times New Roman"/>
          <w:b/>
          <w:iCs/>
          <w:sz w:val="24"/>
          <w:szCs w:val="24"/>
          <w:lang w:eastAsia="ru-RU"/>
        </w:rPr>
      </w:pPr>
      <w:hyperlink r:id="rId7" w:history="1">
        <w:r w:rsidRPr="0078482F">
          <w:rPr>
            <w:rFonts w:ascii="Comic Sans MS" w:eastAsia="Times New Roman" w:hAnsi="Comic Sans MS" w:cs="Times New Roman"/>
            <w:b/>
            <w:iCs/>
            <w:color w:val="0070C0"/>
            <w:sz w:val="24"/>
            <w:szCs w:val="24"/>
            <w:u w:val="single"/>
            <w:lang w:eastAsia="ru-RU"/>
          </w:rPr>
          <w:t>Материалы пленарного заседания конференции ФИПИ</w:t>
        </w:r>
      </w:hyperlink>
      <w:r w:rsidRPr="00C545E7">
        <w:rPr>
          <w:rFonts w:ascii="Comic Sans MS" w:eastAsia="Times New Roman" w:hAnsi="Comic Sans MS" w:cs="Times New Roman"/>
          <w:b/>
          <w:iCs/>
          <w:sz w:val="24"/>
          <w:szCs w:val="24"/>
          <w:lang w:eastAsia="ru-RU"/>
        </w:rPr>
        <w:t> "Научно-методические, организационно-технологические и нормативно-правовые аспекты работы региональных предметных комиссий по проверке выполнения заданий с развернутым ответом экзаменационных работ ЕГЭ и ГИА для выпускников 9 классов и вопросы совершенствования контрольных измерительных материалов", проходившей в Москве 25-28 октября 2011 г.</w:t>
      </w:r>
    </w:p>
    <w:p w:rsidR="0078482F" w:rsidRPr="00C545E7" w:rsidRDefault="0078482F" w:rsidP="0078482F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C545E7" w:rsidRPr="0078482F" w:rsidRDefault="00C545E7" w:rsidP="0078482F">
      <w:pPr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КИМ ГИА-9 2012 г. усовершенствованы в сравнении </w:t>
      </w:r>
      <w:proofErr w:type="gramStart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</w:t>
      </w:r>
      <w:proofErr w:type="gramEnd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КИМ</w:t>
      </w:r>
      <w:proofErr w:type="gramEnd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2011 г. по всем предметам. </w:t>
      </w:r>
      <w:proofErr w:type="gramStart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Для</w:t>
      </w:r>
      <w:proofErr w:type="gramEnd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КИМ</w:t>
      </w:r>
      <w:proofErr w:type="gramEnd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2012 г. характерно уменьшение числа заданий репродуктивного характера при увеличении числа заданий на выявление степени понимания выпускником основных элементов содержания учебных программ, оценку </w:t>
      </w:r>
      <w:proofErr w:type="spellStart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умений применять полученные знания в различных ситуациях, анализ и обобщение информации, высказывание и аргументацию оценочных суждений. </w:t>
      </w:r>
    </w:p>
    <w:p w:rsidR="0078482F" w:rsidRPr="0078482F" w:rsidRDefault="0078482F" w:rsidP="0078482F">
      <w:pPr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</w:p>
    <w:p w:rsidR="0078482F" w:rsidRPr="0078482F" w:rsidRDefault="0078482F" w:rsidP="0078482F">
      <w:pPr>
        <w:jc w:val="center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78482F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ru-RU"/>
        </w:rPr>
        <w:t>Внимание!</w:t>
      </w:r>
      <w:r w:rsidRPr="00C545E7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Pr="0078482F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ru-RU"/>
        </w:rPr>
        <w:t>С</w:t>
      </w:r>
      <w:r w:rsidRPr="00C545E7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ru-RU"/>
        </w:rPr>
        <w:t>ущественные</w:t>
      </w:r>
      <w:r w:rsidRPr="0078482F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r w:rsidRPr="00C545E7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ru-RU"/>
        </w:rPr>
        <w:t>изменения</w:t>
      </w:r>
      <w:r w:rsidRPr="0078482F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ru-RU"/>
        </w:rPr>
        <w:t>!</w:t>
      </w:r>
    </w:p>
    <w:p w:rsidR="0078482F" w:rsidRPr="0078482F" w:rsidRDefault="0078482F" w:rsidP="0078482F">
      <w:pPr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</w:t>
      </w:r>
    </w:p>
    <w:p w:rsidR="0078482F" w:rsidRPr="00C545E7" w:rsidRDefault="0078482F" w:rsidP="0078482F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1) в раздел 1 (задания по аудированию)</w:t>
      </w:r>
    </w:p>
    <w:p w:rsidR="0078482F" w:rsidRPr="0078482F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78482F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добавлено одно задание с кратким ответом (на установление соответствий), проверяющее умение понимать общее содержание прослушанного текста (задание В</w:t>
      </w:r>
      <w:proofErr w:type="gramStart"/>
      <w:r w:rsidRPr="0078482F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1</w:t>
      </w:r>
      <w:proofErr w:type="gramEnd"/>
      <w:r w:rsidRPr="0078482F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, уровень 1);</w:t>
      </w:r>
    </w:p>
    <w:p w:rsidR="0078482F" w:rsidRPr="0078482F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78482F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уменьшены объемы высказываний (текстов для аудирования) в задании В</w:t>
      </w:r>
      <w:proofErr w:type="gramStart"/>
      <w:r w:rsidRPr="0078482F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2</w:t>
      </w:r>
      <w:proofErr w:type="gramEnd"/>
      <w:r w:rsidRPr="0078482F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 (уровень 2); </w:t>
      </w:r>
    </w:p>
    <w:p w:rsidR="0078482F" w:rsidRPr="00C545E7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увеличено до 6 количество заданий на понимание запрашиваемой информации: четыре задания на понимание информации, которая представлена эксплицитно (уровень 1), и два задания на понимание информации, которая представлена имплицитно (уровень</w:t>
      </w:r>
      <w:proofErr w:type="gramStart"/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2</w:t>
      </w:r>
      <w:proofErr w:type="gramEnd"/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); объем предъявляемого </w:t>
      </w:r>
      <w:proofErr w:type="spellStart"/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аудитивного</w:t>
      </w:r>
      <w:proofErr w:type="spellEnd"/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 текста не изменился (задания А1-А6).</w:t>
      </w:r>
    </w:p>
    <w:p w:rsidR="0078482F" w:rsidRPr="0078482F" w:rsidRDefault="0078482F" w:rsidP="0078482F">
      <w:pPr>
        <w:rPr>
          <w:rFonts w:ascii="Comic Sans MS" w:eastAsia="Times New Roman" w:hAnsi="Comic Sans MS" w:cs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</w:pPr>
      <w:r w:rsidRPr="00C545E7">
        <w:rPr>
          <w:rFonts w:ascii="Comic Sans MS" w:eastAsia="Times New Roman" w:hAnsi="Comic Sans MS" w:cs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>В экзаменационной работе 2012 г. в разделе 1 (задания по аудированию) количество заданий увеличено до 8;</w:t>
      </w:r>
    </w:p>
    <w:p w:rsidR="0078482F" w:rsidRPr="00C545E7" w:rsidRDefault="0078482F" w:rsidP="0078482F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78482F" w:rsidRPr="00C545E7" w:rsidRDefault="0078482F" w:rsidP="0078482F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2) в раздел 2 (задания по чтению)</w:t>
      </w:r>
    </w:p>
    <w:p w:rsidR="0078482F" w:rsidRPr="00C545E7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увеличено до 7 количество текстов в задании В3 (на проверку умения понимать общее содержание прочитанного текста - уровень 1); общий объем текстов для чтения в задании не изменился;</w:t>
      </w:r>
    </w:p>
    <w:p w:rsidR="0078482F" w:rsidRPr="00C545E7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увеличено до 8 количество заданий на понимание запрашиваемой информации: одно задание на понимание информации, которая представлена эксплицитно (уровень 1), и семь заданий на понимание информации, которая представлена имплицитно (задания А7-А14, уровень</w:t>
      </w:r>
      <w:proofErr w:type="gramStart"/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2</w:t>
      </w:r>
      <w:proofErr w:type="gramEnd"/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); объем предъявляемого текста для чтения соответствует </w:t>
      </w: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lastRenderedPageBreak/>
        <w:t>объему, определенному нормативными документами.</w:t>
      </w:r>
    </w:p>
    <w:p w:rsidR="0078482F" w:rsidRDefault="0078482F" w:rsidP="0078482F">
      <w:pPr>
        <w:rPr>
          <w:rFonts w:ascii="Comic Sans MS" w:eastAsia="Times New Roman" w:hAnsi="Comic Sans MS" w:cs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</w:pPr>
      <w:r w:rsidRPr="00C545E7">
        <w:rPr>
          <w:rFonts w:ascii="Comic Sans MS" w:eastAsia="Times New Roman" w:hAnsi="Comic Sans MS" w:cs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 xml:space="preserve">В экзаменационной работе 2012 г. в разделе 2 (задания по чтению) общее количество заданий по чтению увеличено до 9; </w:t>
      </w:r>
    </w:p>
    <w:p w:rsidR="0078482F" w:rsidRPr="00C545E7" w:rsidRDefault="0078482F" w:rsidP="0078482F">
      <w:pPr>
        <w:rPr>
          <w:rFonts w:ascii="Comic Sans MS" w:eastAsia="Times New Roman" w:hAnsi="Comic Sans MS" w:cs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</w:pPr>
    </w:p>
    <w:p w:rsidR="0078482F" w:rsidRPr="00C545E7" w:rsidRDefault="0078482F" w:rsidP="0078482F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3) в раздел 3 (задания по грамматике и лексике) </w:t>
      </w:r>
    </w:p>
    <w:p w:rsidR="0078482F" w:rsidRPr="00C545E7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увеличено количество заданий с кратким ответом до 15; </w:t>
      </w:r>
    </w:p>
    <w:p w:rsidR="0078482F" w:rsidRPr="0078482F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предусмотрены задания различного уровня сложности на проверку грамматических и лексико-грамматических навыков: 10 заданий уровня 1 и 5 заданий уровня 2 (задания В4-18). </w:t>
      </w:r>
    </w:p>
    <w:p w:rsidR="0078482F" w:rsidRPr="00C545E7" w:rsidRDefault="0078482F" w:rsidP="0078482F">
      <w:pPr>
        <w:pStyle w:val="a4"/>
        <w:widowControl w:val="0"/>
        <w:suppressAutoHyphens/>
        <w:ind w:left="436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78482F" w:rsidRPr="00C545E7" w:rsidRDefault="0078482F" w:rsidP="0078482F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4) в раздел 4 (задание по письменной речи)  </w:t>
      </w:r>
    </w:p>
    <w:p w:rsidR="0078482F" w:rsidRPr="00C545E7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увеличен объем личного письма до 100–120 слов; </w:t>
      </w:r>
    </w:p>
    <w:p w:rsidR="0078482F" w:rsidRPr="0078482F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предусмотрены иные критерии оценивания устной речи: максимальное количество баллов за личное письмо – 10.</w:t>
      </w:r>
    </w:p>
    <w:p w:rsidR="0078482F" w:rsidRPr="00C545E7" w:rsidRDefault="0078482F" w:rsidP="0078482F">
      <w:pPr>
        <w:pStyle w:val="a4"/>
        <w:widowControl w:val="0"/>
        <w:suppressAutoHyphens/>
        <w:ind w:left="436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78482F" w:rsidRPr="00C545E7" w:rsidRDefault="0078482F" w:rsidP="0078482F">
      <w:pP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5) в раздел 5 (задания по говорению) увеличено количество дополнительных вопросов, предлагаемых экзаменуемому после монологического высказывания. В экзаменационной работе 2012 г. экзаменуемый должен ответить на два вопроса без предварительной подготовки;</w:t>
      </w:r>
    </w:p>
    <w:p w:rsidR="0078482F" w:rsidRPr="00C545E7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предложен иной вид </w:t>
      </w:r>
      <w:r w:rsidRPr="00C545E7">
        <w:rPr>
          <w:rFonts w:ascii="Comic Sans MS" w:eastAsia="Times New Roman" w:hAnsi="Comic Sans MS" w:cs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>диалога – комбинированный диалог,</w:t>
      </w: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 xml:space="preserve"> умение вести который должен продемонстрировать экзаменуемый;</w:t>
      </w:r>
    </w:p>
    <w:p w:rsidR="0078482F" w:rsidRPr="00C545E7" w:rsidRDefault="0078482F" w:rsidP="0078482F">
      <w:pPr>
        <w:pStyle w:val="a4"/>
        <w:widowControl w:val="0"/>
        <w:numPr>
          <w:ilvl w:val="0"/>
          <w:numId w:val="1"/>
        </w:numPr>
        <w:tabs>
          <w:tab w:val="num" w:pos="498"/>
        </w:tabs>
        <w:suppressAutoHyphens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C545E7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предусмотрены иные критерии оценивания устной речи: максимальное количество баллов за монологическое высказывание – 6, за диалог – 9</w:t>
      </w:r>
      <w:r w:rsidRPr="0078482F">
        <w:rPr>
          <w:rFonts w:ascii="Comic Sans MS" w:eastAsia="Times New Roman" w:hAnsi="Comic Sans MS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7F0431" w:rsidRPr="0078482F" w:rsidRDefault="007F0431">
      <w:pPr>
        <w:rPr>
          <w:rFonts w:ascii="Comic Sans MS" w:hAnsi="Comic Sans MS"/>
          <w:b/>
        </w:rPr>
      </w:pPr>
      <w:bookmarkStart w:id="0" w:name="more"/>
      <w:bookmarkEnd w:id="0"/>
    </w:p>
    <w:sectPr w:rsidR="007F0431" w:rsidRPr="0078482F" w:rsidSect="007F04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77" w:rsidRDefault="00F05D77" w:rsidP="0078482F">
      <w:r>
        <w:separator/>
      </w:r>
    </w:p>
  </w:endnote>
  <w:endnote w:type="continuationSeparator" w:id="0">
    <w:p w:rsidR="00F05D77" w:rsidRDefault="00F05D77" w:rsidP="0078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77" w:rsidRDefault="00F05D77" w:rsidP="0078482F">
      <w:r>
        <w:separator/>
      </w:r>
    </w:p>
  </w:footnote>
  <w:footnote w:type="continuationSeparator" w:id="0">
    <w:p w:rsidR="00F05D77" w:rsidRDefault="00F05D77" w:rsidP="0078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32"/>
      </w:rPr>
      <w:alias w:val="Заголовок"/>
      <w:id w:val="77738743"/>
      <w:placeholder>
        <w:docPart w:val="57295EEE971F45028EAD26BC90EEB5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482F" w:rsidRDefault="0078482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482F">
          <w:rPr>
            <w:rFonts w:asciiTheme="majorHAnsi" w:eastAsiaTheme="majorEastAsia" w:hAnsiTheme="majorHAnsi" w:cstheme="majorBidi"/>
            <w:szCs w:val="32"/>
          </w:rPr>
          <w:t>Белогубец Евгения Евгеньевна, учитель английского языка</w:t>
        </w:r>
        <w:r>
          <w:rPr>
            <w:rFonts w:asciiTheme="majorHAnsi" w:eastAsiaTheme="majorEastAsia" w:hAnsiTheme="majorHAnsi" w:cstheme="majorBidi"/>
            <w:szCs w:val="32"/>
          </w:rPr>
          <w:t xml:space="preserve">                                                                    </w:t>
        </w:r>
        <w:r w:rsidRPr="0078482F">
          <w:rPr>
            <w:rFonts w:asciiTheme="majorHAnsi" w:eastAsiaTheme="majorEastAsia" w:hAnsiTheme="majorHAnsi" w:cstheme="majorBidi"/>
            <w:szCs w:val="32"/>
          </w:rPr>
          <w:t xml:space="preserve"> МОУ СОШ № 2 </w:t>
        </w:r>
        <w:proofErr w:type="gramStart"/>
        <w:r w:rsidRPr="0078482F">
          <w:rPr>
            <w:rFonts w:asciiTheme="majorHAnsi" w:eastAsiaTheme="majorEastAsia" w:hAnsiTheme="majorHAnsi" w:cstheme="majorBidi"/>
            <w:szCs w:val="32"/>
          </w:rPr>
          <w:t>с</w:t>
        </w:r>
        <w:proofErr w:type="gramEnd"/>
        <w:r w:rsidRPr="0078482F">
          <w:rPr>
            <w:rFonts w:asciiTheme="majorHAnsi" w:eastAsiaTheme="majorEastAsia" w:hAnsiTheme="majorHAnsi" w:cstheme="majorBidi"/>
            <w:szCs w:val="32"/>
          </w:rPr>
          <w:t>. Екатеринославка</w:t>
        </w:r>
      </w:p>
    </w:sdtContent>
  </w:sdt>
  <w:p w:rsidR="0078482F" w:rsidRDefault="007848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281"/>
    <w:multiLevelType w:val="hybridMultilevel"/>
    <w:tmpl w:val="165639A4"/>
    <w:lvl w:ilvl="0" w:tplc="EB66550A">
      <w:numFmt w:val="bullet"/>
      <w:lvlText w:val="·"/>
      <w:lvlJc w:val="left"/>
      <w:pPr>
        <w:ind w:left="151" w:hanging="435"/>
      </w:pPr>
      <w:rPr>
        <w:rFonts w:ascii="Comic Sans MS" w:eastAsia="Times New Roman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FB37E0E"/>
    <w:multiLevelType w:val="hybridMultilevel"/>
    <w:tmpl w:val="3864B6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5E7"/>
    <w:rsid w:val="00443076"/>
    <w:rsid w:val="0078482F"/>
    <w:rsid w:val="007F0431"/>
    <w:rsid w:val="00C545E7"/>
    <w:rsid w:val="00F0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1"/>
  </w:style>
  <w:style w:type="paragraph" w:styleId="3">
    <w:name w:val="heading 3"/>
    <w:basedOn w:val="a"/>
    <w:link w:val="30"/>
    <w:uiPriority w:val="9"/>
    <w:qFormat/>
    <w:rsid w:val="00C545E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45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4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82F"/>
  </w:style>
  <w:style w:type="paragraph" w:styleId="a7">
    <w:name w:val="footer"/>
    <w:basedOn w:val="a"/>
    <w:link w:val="a8"/>
    <w:uiPriority w:val="99"/>
    <w:semiHidden/>
    <w:unhideWhenUsed/>
    <w:rsid w:val="00784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482F"/>
  </w:style>
  <w:style w:type="paragraph" w:styleId="a9">
    <w:name w:val="Balloon Text"/>
    <w:basedOn w:val="a"/>
    <w:link w:val="aa"/>
    <w:uiPriority w:val="99"/>
    <w:semiHidden/>
    <w:unhideWhenUsed/>
    <w:rsid w:val="00784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415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590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892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647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979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8087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4339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375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811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796">
              <w:marLeft w:val="4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5610">
              <w:marLeft w:val="6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pi.ru/binaries/1241/azd_ple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295EEE971F45028EAD26BC90EEB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C6FB9-565F-45A8-A5E4-E41502EA27D2}"/>
      </w:docPartPr>
      <w:docPartBody>
        <w:p w:rsidR="00000000" w:rsidRDefault="00CE2214" w:rsidP="00CE2214">
          <w:pPr>
            <w:pStyle w:val="57295EEE971F45028EAD26BC90EEB5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2214"/>
    <w:rsid w:val="00A47AB8"/>
    <w:rsid w:val="00C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95EEE971F45028EAD26BC90EEB525">
    <w:name w:val="57295EEE971F45028EAD26BC90EEB525"/>
    <w:rsid w:val="00CE22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Белогубец Евгения Евгеньевна, учитель английского языка                                                                     МОУ СОШ № 2 с. Екатеринославка</dc:title>
  <dc:subject/>
  <dc:creator>Belogubets</dc:creator>
  <cp:keywords/>
  <dc:description/>
  <cp:lastModifiedBy>Belogubets</cp:lastModifiedBy>
  <cp:revision>1</cp:revision>
  <dcterms:created xsi:type="dcterms:W3CDTF">2011-11-07T11:19:00Z</dcterms:created>
  <dcterms:modified xsi:type="dcterms:W3CDTF">2011-11-07T13:04:00Z</dcterms:modified>
</cp:coreProperties>
</file>